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8ED6E" w14:textId="3D5E92D8" w:rsidR="00633C5E" w:rsidRDefault="00B02485" w:rsidP="00B02485">
      <w:pPr>
        <w:jc w:val="center"/>
        <w:rPr>
          <w:rFonts w:ascii="Times New Roman" w:hAnsi="Times New Roman" w:cs="Times New Roman"/>
          <w:sz w:val="24"/>
          <w:szCs w:val="24"/>
        </w:rPr>
      </w:pPr>
      <w:r w:rsidRPr="00B02485">
        <w:rPr>
          <w:rFonts w:ascii="Times New Roman" w:hAnsi="Times New Roman" w:cs="Times New Roman"/>
          <w:sz w:val="24"/>
          <w:szCs w:val="24"/>
        </w:rPr>
        <w:t>Appendix A6.3 - Audited Reports_LZLG</w:t>
      </w:r>
    </w:p>
    <w:p w14:paraId="20173FEB" w14:textId="77777777" w:rsidR="00B02485" w:rsidRPr="00633C5E" w:rsidRDefault="00B02485">
      <w:pPr>
        <w:rPr>
          <w:rFonts w:ascii="Times New Roman" w:hAnsi="Times New Roman" w:cs="Times New Roman"/>
          <w:sz w:val="24"/>
          <w:szCs w:val="24"/>
        </w:rPr>
      </w:pPr>
    </w:p>
    <w:p w14:paraId="2A44F440" w14:textId="65BF4685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 Company’s audited reports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AC3E6A"/>
    <w:rsid w:val="00B0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2024-03-14T21:24:00Z</dcterms:modified>
</cp:coreProperties>
</file>